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200"/>
        <w:rPr>
          <w:color w:themeColor="dark1" w:val="000000"/>
        </w:rPr>
      </w:pPr>
      <w:r>
        <w:rPr>
          <w:b/>
          <w:bCs/>
          <w:color w:themeColor="dark1" w:val="000000"/>
          <w:sz w:val="18"/>
          <w:szCs w:val="18"/>
        </w:rPr>
        <w:t>PAID-06-2023-UPV · Bio-Re-St-Art · NextGenerationEU · UPV</w:t>
      </w:r>
    </w:p>
    <w:p>
      <w:pPr>
        <w:pStyle w:val="Normal"/>
        <w:spacing w:before="0" w:after="100"/>
        <w:rPr>
          <w:color w:themeColor="dark1" w:val="000000"/>
        </w:rPr>
      </w:pPr>
      <w:r>
        <w:rPr>
          <w:b/>
          <w:bCs/>
          <w:color w:themeColor="dark1" w:val="000000"/>
          <w:sz w:val="40"/>
          <w:szCs w:val="40"/>
        </w:rPr>
        <w:t>Bio-Re-St-Art de la UPV lleva a India los resultados de su investigación</w:t>
      </w:r>
    </w:p>
    <w:p>
      <w:pPr>
        <w:pStyle w:val="Normal"/>
        <w:spacing w:before="0" w:after="100"/>
        <w:rPr>
          <w:color w:themeColor="dark1" w:val="000000"/>
        </w:rPr>
      </w:pPr>
      <w:r>
        <w:rPr>
          <w:b/>
          <w:bCs/>
          <w:color w:themeColor="dark1" w:val="000000"/>
          <w:sz w:val="30"/>
          <w:szCs w:val="30"/>
        </w:rPr>
        <w:t>“</w:t>
      </w:r>
      <w:r>
        <w:rPr>
          <w:b/>
          <w:bCs/>
          <w:color w:themeColor="dark1" w:val="000000"/>
          <w:sz w:val="30"/>
          <w:szCs w:val="30"/>
        </w:rPr>
        <w:t>Transformed Bonds for the DANA Clay”: el cristal como memoria del agua</w:t>
      </w:r>
    </w:p>
    <w:p>
      <w:pPr>
        <w:pStyle w:val="Normal"/>
        <w:pBdr>
          <w:bottom w:val="single" w:sz="8" w:space="4" w:color="2E7D32"/>
        </w:pBdr>
        <w:spacing w:before="0" w:after="300"/>
        <w:rPr>
          <w:color w:themeColor="dark1" w:val="000000"/>
        </w:rPr>
      </w:pPr>
      <w:r>
        <w:rPr>
          <w:i/>
          <w:iCs/>
          <w:color w:themeColor="dark1" w:val="000000"/>
          <w:sz w:val="24"/>
          <w:szCs w:val="24"/>
        </w:rPr>
        <w:t>Cuando el clima extremo transforma el arte</w:t>
      </w:r>
    </w:p>
    <w:p>
      <w:pPr>
        <w:pStyle w:val="Normal"/>
        <w:spacing w:before="0" w:after="200"/>
        <w:jc w:val="both"/>
        <w:rPr>
          <w:color w:themeColor="dark1" w:val="000000"/>
        </w:rPr>
      </w:pPr>
      <w:r>
        <w:rPr>
          <w:color w:themeColor="dark1" w:val="000000"/>
          <w:sz w:val="22"/>
          <w:szCs w:val="22"/>
        </w:rPr>
        <w:t xml:space="preserve">La Universitat Politècnica de València (UPV), a través del proyecto de investigación </w:t>
      </w:r>
      <w:r>
        <w:rPr>
          <w:b/>
          <w:bCs/>
          <w:color w:themeColor="dark1" w:val="000000"/>
          <w:sz w:val="22"/>
          <w:szCs w:val="22"/>
        </w:rPr>
        <w:t>PAID-06-2023-UPV: Bio-Re-St-Art</w:t>
      </w:r>
      <w:r>
        <w:rPr>
          <w:color w:themeColor="dark1" w:val="000000"/>
          <w:sz w:val="22"/>
          <w:szCs w:val="22"/>
        </w:rPr>
        <w:t xml:space="preserve">, ha inaugurado hoy, 24 de agosto de 2026, en el </w:t>
      </w:r>
      <w:r>
        <w:rPr>
          <w:b/>
          <w:bCs/>
          <w:color w:themeColor="dark1" w:val="000000"/>
          <w:sz w:val="22"/>
          <w:szCs w:val="22"/>
        </w:rPr>
        <w:t>Treat Resort de Silvassa (India)</w:t>
      </w:r>
      <w:r>
        <w:rPr>
          <w:color w:themeColor="dark1" w:val="000000"/>
          <w:sz w:val="22"/>
          <w:szCs w:val="22"/>
        </w:rPr>
        <w:t xml:space="preserve"> la exposición </w:t>
      </w:r>
      <w:r>
        <w:rPr>
          <w:i/>
          <w:iCs/>
          <w:color w:themeColor="dark1" w:val="000000"/>
          <w:sz w:val="22"/>
          <w:szCs w:val="22"/>
        </w:rPr>
        <w:t>“Transformed Bonds for the DANA Clay”</w:t>
      </w:r>
      <w:r>
        <w:rPr>
          <w:color w:themeColor="dark1" w:val="000000"/>
          <w:sz w:val="22"/>
          <w:szCs w:val="22"/>
        </w:rPr>
        <w:t xml:space="preserve">, una muestra que lleva a la India una selección internacional de este proyecto dedicado a sensibilizar sobre la urgencia de mitigar el cambio climático desde la creación artística. La muestra de Silvassa se centra en una única colección: la realizada sobre </w:t>
      </w:r>
      <w:r>
        <w:rPr>
          <w:b/>
          <w:bCs/>
          <w:color w:themeColor="dark1" w:val="000000"/>
          <w:sz w:val="22"/>
          <w:szCs w:val="22"/>
        </w:rPr>
        <w:t>cristal reutilizado</w:t>
      </w:r>
      <w:r>
        <w:rPr>
          <w:color w:themeColor="dark1" w:val="000000"/>
          <w:sz w:val="22"/>
          <w:szCs w:val="22"/>
        </w:rPr>
        <w:t xml:space="preserve">, bajo el título </w:t>
      </w:r>
      <w:r>
        <w:rPr>
          <w:b/>
          <w:bCs/>
          <w:color w:themeColor="dark1" w:val="000000"/>
          <w:sz w:val="22"/>
          <w:szCs w:val="22"/>
        </w:rPr>
        <w:t>“Tinción-Extinción acuosa”</w:t>
      </w:r>
      <w:r>
        <w:rPr>
          <w:color w:themeColor="dark1" w:val="000000"/>
          <w:sz w:val="22"/>
          <w:szCs w:val="22"/>
        </w:rPr>
        <w:t>.</w:t>
      </w:r>
    </w:p>
    <w:p>
      <w:pPr>
        <w:pStyle w:val="Normal"/>
        <w:spacing w:before="0" w:after="200"/>
        <w:jc w:val="both"/>
        <w:rPr>
          <w:color w:themeColor="dark1" w:val="000000"/>
        </w:rPr>
      </w:pPr>
      <w:r>
        <w:rPr>
          <w:color w:themeColor="dark1" w:val="000000"/>
          <w:sz w:val="22"/>
          <w:szCs w:val="22"/>
        </w:rPr>
        <w:t xml:space="preserve">La cita ha registrado un éxito de convocatoria: cerca de </w:t>
      </w:r>
      <w:r>
        <w:rPr>
          <w:b/>
          <w:bCs/>
          <w:color w:themeColor="dark1" w:val="000000"/>
          <w:sz w:val="22"/>
          <w:szCs w:val="22"/>
        </w:rPr>
        <w:t>200 personas</w:t>
      </w:r>
      <w:r>
        <w:rPr>
          <w:color w:themeColor="dark1" w:val="000000"/>
          <w:sz w:val="22"/>
          <w:szCs w:val="22"/>
        </w:rPr>
        <w:t xml:space="preserve"> se han acercado a la sala de exposiciones para ver las obras y escuchar de primera mano las claves del proyecto a través del comisario internacional de la muestra en India, </w:t>
      </w:r>
      <w:r>
        <w:rPr>
          <w:b/>
          <w:bCs/>
          <w:color w:themeColor="dark1" w:val="000000"/>
          <w:sz w:val="22"/>
          <w:szCs w:val="22"/>
        </w:rPr>
        <w:t>Rafel Arnal Rodrigo,</w:t>
      </w:r>
      <w:r>
        <w:rPr>
          <w:color w:themeColor="dark1" w:val="000000"/>
          <w:sz w:val="22"/>
          <w:szCs w:val="22"/>
        </w:rPr>
        <w:t xml:space="preserve"> y el comisario asistente </w:t>
      </w:r>
      <w:r>
        <w:rPr>
          <w:b/>
          <w:bCs/>
          <w:color w:themeColor="dark1" w:val="000000"/>
          <w:sz w:val="22"/>
          <w:szCs w:val="22"/>
        </w:rPr>
        <w:t>Vicente Darder Higon</w:t>
      </w:r>
      <w:r>
        <w:rPr>
          <w:color w:themeColor="dark1" w:val="000000"/>
          <w:sz w:val="22"/>
          <w:szCs w:val="22"/>
        </w:rPr>
        <w:t>, quienes han realizado un acompañamiento y una labor de mediación continuada durante toda la jornada, explicando personalmente el proyecto a todos los asistentes que se han ido acercando a la muestra.</w:t>
      </w:r>
    </w:p>
    <w:p>
      <w:pPr>
        <w:pStyle w:val="Normal"/>
        <w:spacing w:before="300" w:after="150"/>
        <w:rPr>
          <w:color w:themeColor="dark1" w:val="000000"/>
        </w:rPr>
      </w:pPr>
      <w:r>
        <w:rPr>
          <w:b/>
          <w:bCs/>
          <w:color w:themeColor="dark1" w:val="000000"/>
          <w:sz w:val="26"/>
          <w:szCs w:val="26"/>
        </w:rPr>
        <w:t>Un proyecto internacional sobre soportes sostenibles</w:t>
      </w:r>
    </w:p>
    <w:p>
      <w:pPr>
        <w:pStyle w:val="Normal"/>
        <w:spacing w:before="0" w:after="200"/>
        <w:jc w:val="both"/>
        <w:rPr>
          <w:color w:themeColor="dark1" w:val="000000"/>
        </w:rPr>
      </w:pPr>
      <w:r>
        <w:rPr>
          <w:color w:themeColor="dark1" w:val="000000"/>
          <w:sz w:val="22"/>
          <w:szCs w:val="22"/>
        </w:rPr>
        <w:t xml:space="preserve">El proyecto, liderado por la investigadora </w:t>
      </w:r>
      <w:r>
        <w:rPr>
          <w:b/>
          <w:bCs/>
          <w:color w:themeColor="dark1" w:val="000000"/>
          <w:sz w:val="22"/>
          <w:szCs w:val="22"/>
        </w:rPr>
        <w:t>Ana Tomás</w:t>
      </w:r>
      <w:r>
        <w:rPr>
          <w:color w:themeColor="dark1" w:val="000000"/>
          <w:sz w:val="22"/>
          <w:szCs w:val="22"/>
        </w:rPr>
        <w:t xml:space="preserve">, reúne obras de una setentena de artistas de instituciones nacionales e internacionales y tiene su origen en las investigaciones de </w:t>
      </w:r>
      <w:r>
        <w:rPr>
          <w:b/>
          <w:bCs/>
          <w:color w:themeColor="dark1" w:val="000000"/>
          <w:sz w:val="22"/>
          <w:szCs w:val="22"/>
        </w:rPr>
        <w:t>Internaturalezas</w:t>
      </w:r>
      <w:r>
        <w:rPr>
          <w:color w:themeColor="dark1" w:val="000000"/>
          <w:sz w:val="22"/>
          <w:szCs w:val="22"/>
        </w:rPr>
        <w:t xml:space="preserve">, </w:t>
      </w:r>
      <w:r>
        <w:rPr>
          <w:b/>
          <w:bCs/>
          <w:color w:themeColor="dark1" w:val="000000"/>
          <w:sz w:val="22"/>
          <w:szCs w:val="22"/>
        </w:rPr>
        <w:t>Bosquearte</w:t>
      </w:r>
      <w:r>
        <w:rPr>
          <w:color w:themeColor="dark1" w:val="000000"/>
          <w:sz w:val="22"/>
          <w:szCs w:val="22"/>
        </w:rPr>
        <w:t xml:space="preserve"> y en la tesis doctoral de Rossi Aguilar. Sus itinerancias, nacionales e internacionales, muestran intervenciones artísticas sobre soportes que van de lo más sostenible y natural a lo más contaminante, explorando materiales diversos con un mismo objetivo: generar conciencia ecológica desde medios de creación alternativos, ya sean analógicos o digitales, artesanales o mecanizados, tradicionales o industriales.</w:t>
      </w:r>
    </w:p>
    <w:p>
      <w:pPr>
        <w:pStyle w:val="Normal"/>
        <w:spacing w:before="0" w:after="200"/>
        <w:jc w:val="both"/>
        <w:rPr>
          <w:color w:themeColor="dark1" w:val="000000"/>
        </w:rPr>
      </w:pPr>
      <w:r>
        <w:rPr>
          <w:color w:themeColor="dark1" w:val="000000"/>
          <w:sz w:val="22"/>
          <w:szCs w:val="22"/>
        </w:rPr>
        <w:t>Los artistas participantes abordan la crisis ecosocial desde sus propias perspectivas y exploran la cultura de la sostenibilidad ante los nuevos escenarios de fragilidad de nuestro ecosistema, ofreciendo un gesto de reflexión crítica en esta situación de emergencia ecosistémica.</w:t>
      </w:r>
    </w:p>
    <w:p>
      <w:pPr>
        <w:pStyle w:val="Normal"/>
        <w:spacing w:before="300" w:after="150"/>
        <w:rPr>
          <w:color w:themeColor="dark1" w:val="000000"/>
        </w:rPr>
      </w:pPr>
      <w:r>
        <w:rPr>
          <w:b/>
          <w:bCs/>
          <w:color w:themeColor="dark1" w:val="000000"/>
          <w:sz w:val="26"/>
          <w:szCs w:val="26"/>
        </w:rPr>
        <w:t>El cristal como corredor ecológico: la colección “Tinción-Extinción acuosa”</w:t>
      </w:r>
    </w:p>
    <w:p>
      <w:pPr>
        <w:pStyle w:val="Normal"/>
        <w:spacing w:before="0" w:after="200"/>
        <w:jc w:val="both"/>
        <w:rPr>
          <w:color w:themeColor="dark1" w:val="000000"/>
        </w:rPr>
      </w:pPr>
      <w:r>
        <w:rPr>
          <w:color w:themeColor="dark1" w:val="000000"/>
          <w:sz w:val="22"/>
          <w:szCs w:val="22"/>
        </w:rPr>
        <w:t xml:space="preserve">Las obras que se exhiben en Silvassa están realizadas sobre </w:t>
      </w:r>
      <w:r>
        <w:rPr>
          <w:b/>
          <w:bCs/>
          <w:color w:themeColor="dark1" w:val="000000"/>
          <w:sz w:val="22"/>
          <w:szCs w:val="22"/>
        </w:rPr>
        <w:t>cristal reutilizado y recuperado de pruebas realizadas con microscopios electrónicos de transmisión</w:t>
      </w:r>
      <w:r>
        <w:rPr>
          <w:color w:themeColor="dark1" w:val="000000"/>
          <w:sz w:val="22"/>
          <w:szCs w:val="22"/>
        </w:rPr>
        <w:t xml:space="preserve">, donado por el </w:t>
      </w:r>
      <w:r>
        <w:rPr>
          <w:b/>
          <w:bCs/>
          <w:color w:themeColor="dark1" w:val="000000"/>
          <w:sz w:val="22"/>
          <w:szCs w:val="22"/>
        </w:rPr>
        <w:t>CSIC</w:t>
      </w:r>
      <w:r>
        <w:rPr>
          <w:color w:themeColor="dark1" w:val="000000"/>
          <w:sz w:val="22"/>
          <w:szCs w:val="22"/>
        </w:rPr>
        <w:t xml:space="preserve"> a través de Javier Pérez-Carvajal (ICMM-CSIC, Madrid), e intervenido artísticamente para destacar el papel esencial del laboratorio, la ciencia y la tecnología al servicio de la sociedad.</w:t>
      </w:r>
    </w:p>
    <w:p>
      <w:pPr>
        <w:pStyle w:val="Normal"/>
        <w:spacing w:before="0" w:after="200"/>
        <w:jc w:val="both"/>
        <w:rPr>
          <w:color w:themeColor="dark1" w:val="000000"/>
        </w:rPr>
      </w:pPr>
      <w:r>
        <w:rPr>
          <w:color w:themeColor="dark1" w:val="000000"/>
          <w:sz w:val="22"/>
          <w:szCs w:val="22"/>
        </w:rPr>
        <w:t xml:space="preserve">La instalación combina estructuras líquidas y sólidas como metáfora de la “modernidad líquida” formulada por Zygmunt Bauman, reflejando un mundo en constante transformación. A través de la transparencia del cristal, las obras remiten al </w:t>
      </w:r>
      <w:r>
        <w:rPr>
          <w:b/>
          <w:bCs/>
          <w:color w:themeColor="dark1" w:val="000000"/>
          <w:sz w:val="22"/>
          <w:szCs w:val="22"/>
        </w:rPr>
        <w:t>Objetivo de Desarrollo Sostenible 6</w:t>
      </w:r>
      <w:r>
        <w:rPr>
          <w:color w:themeColor="dark1" w:val="000000"/>
          <w:sz w:val="22"/>
          <w:szCs w:val="22"/>
        </w:rPr>
        <w:t>: garantizar la disponibilidad de agua, su gestión sostenible y el saneamiento para todos.</w:t>
      </w:r>
    </w:p>
    <w:p>
      <w:pPr>
        <w:pStyle w:val="Normal"/>
        <w:spacing w:before="0" w:after="200"/>
        <w:jc w:val="both"/>
        <w:rPr>
          <w:color w:themeColor="dark1" w:val="000000"/>
        </w:rPr>
      </w:pPr>
      <w:r>
        <w:rPr>
          <w:color w:themeColor="dark1" w:val="000000"/>
          <w:sz w:val="22"/>
          <w:szCs w:val="22"/>
        </w:rPr>
        <w:t>Los elementos, gestos y trazos evocan ríos, mares y sistemas fluviales y oceánicos como corredores ecológicos, proponiendo rutas de encuentro y comunicación entre diversas comunidades humanas y culturales en un contexto global sometido a una constante presión medioambiental. Las tonalidades azules y verdes sirven de símbolo del agua y la vida.</w:t>
      </w:r>
    </w:p>
    <w:p>
      <w:pPr>
        <w:pStyle w:val="Normal"/>
        <w:spacing w:before="300" w:after="150"/>
        <w:rPr>
          <w:color w:themeColor="dark1" w:val="000000"/>
        </w:rPr>
      </w:pPr>
      <w:r>
        <w:rPr>
          <w:b/>
          <w:bCs/>
          <w:color w:themeColor="dark1" w:val="000000"/>
          <w:sz w:val="26"/>
          <w:szCs w:val="26"/>
        </w:rPr>
        <w:t>Comisariado y coordinación en Silvassa</w:t>
      </w:r>
    </w:p>
    <w:p>
      <w:pPr>
        <w:pStyle w:val="Normal"/>
        <w:spacing w:before="0" w:after="200"/>
        <w:jc w:val="both"/>
        <w:rPr>
          <w:color w:themeColor="dark1" w:val="000000"/>
        </w:rPr>
      </w:pPr>
      <w:r>
        <w:rPr>
          <w:color w:themeColor="dark1" w:val="000000"/>
          <w:sz w:val="22"/>
          <w:szCs w:val="22"/>
        </w:rPr>
        <w:t xml:space="preserve">La exposición está comisariada por la investigadora </w:t>
      </w:r>
      <w:r>
        <w:rPr>
          <w:b/>
          <w:bCs/>
          <w:color w:themeColor="dark1" w:val="000000"/>
          <w:sz w:val="22"/>
          <w:szCs w:val="22"/>
        </w:rPr>
        <w:t>Ana Tomás</w:t>
      </w:r>
      <w:r>
        <w:rPr>
          <w:color w:themeColor="dark1" w:val="000000"/>
          <w:sz w:val="22"/>
          <w:szCs w:val="22"/>
        </w:rPr>
        <w:t xml:space="preserve"> (Universitat Politècnica de València), con </w:t>
      </w:r>
      <w:r>
        <w:rPr>
          <w:b/>
          <w:bCs/>
          <w:color w:themeColor="dark1" w:val="000000"/>
          <w:sz w:val="22"/>
          <w:szCs w:val="22"/>
        </w:rPr>
        <w:t>Rafel Arnal Rodrigo</w:t>
      </w:r>
      <w:r>
        <w:rPr>
          <w:color w:themeColor="dark1" w:val="000000"/>
          <w:sz w:val="22"/>
          <w:szCs w:val="22"/>
        </w:rPr>
        <w:t xml:space="preserve"> (Universidad de Zaragoza) como comisario internacional y </w:t>
      </w:r>
      <w:r>
        <w:rPr>
          <w:b/>
          <w:bCs/>
          <w:color w:themeColor="dark1" w:val="000000"/>
          <w:sz w:val="22"/>
          <w:szCs w:val="22"/>
        </w:rPr>
        <w:t>Vicente Darder Higon</w:t>
      </w:r>
      <w:r>
        <w:rPr>
          <w:color w:themeColor="dark1" w:val="000000"/>
          <w:sz w:val="22"/>
          <w:szCs w:val="22"/>
        </w:rPr>
        <w:t xml:space="preserve"> como comisario asistente. La gestión artística corre a cargo de </w:t>
      </w:r>
      <w:r>
        <w:rPr>
          <w:b/>
          <w:bCs/>
          <w:color w:themeColor="dark1" w:val="000000"/>
          <w:sz w:val="22"/>
          <w:szCs w:val="22"/>
        </w:rPr>
        <w:t>Rafel Arnal y Chele Esteve</w:t>
      </w:r>
      <w:r>
        <w:rPr>
          <w:color w:themeColor="dark1" w:val="000000"/>
          <w:sz w:val="22"/>
          <w:szCs w:val="22"/>
        </w:rPr>
        <w:t>.</w:t>
      </w:r>
    </w:p>
    <w:p>
      <w:pPr>
        <w:pStyle w:val="Normal"/>
        <w:spacing w:before="0" w:after="200"/>
        <w:jc w:val="both"/>
        <w:rPr>
          <w:color w:themeColor="dark1" w:val="000000"/>
        </w:rPr>
      </w:pPr>
      <w:r>
        <w:rPr>
          <w:color w:themeColor="dark1" w:val="000000"/>
          <w:sz w:val="22"/>
          <w:szCs w:val="22"/>
        </w:rPr>
        <w:t xml:space="preserve">La coordinación en India ha corrido a cargo de </w:t>
      </w:r>
      <w:r>
        <w:rPr>
          <w:b/>
          <w:bCs/>
          <w:color w:themeColor="dark1" w:val="000000"/>
          <w:sz w:val="22"/>
          <w:szCs w:val="22"/>
        </w:rPr>
        <w:t>Milind Talnikar</w:t>
      </w:r>
      <w:r>
        <w:rPr>
          <w:color w:themeColor="dark1" w:val="000000"/>
          <w:sz w:val="22"/>
          <w:szCs w:val="22"/>
        </w:rPr>
        <w:t xml:space="preserve">, Director (IT) del National Informatics Centre (NIC) de Silvassa, y </w:t>
      </w:r>
      <w:r>
        <w:rPr>
          <w:b/>
          <w:bCs/>
          <w:color w:themeColor="dark1" w:val="000000"/>
          <w:sz w:val="22"/>
          <w:szCs w:val="22"/>
        </w:rPr>
        <w:t>Vishal Garde</w:t>
      </w:r>
      <w:r>
        <w:rPr>
          <w:color w:themeColor="dark1" w:val="000000"/>
          <w:sz w:val="22"/>
          <w:szCs w:val="22"/>
        </w:rPr>
        <w:t>, Labour Enforcement Officer de Silvassa.</w:t>
      </w:r>
    </w:p>
    <w:p>
      <w:pPr>
        <w:pStyle w:val="Normal"/>
        <w:spacing w:before="300" w:after="150"/>
        <w:rPr>
          <w:color w:themeColor="dark1" w:val="000000"/>
        </w:rPr>
      </w:pPr>
      <w:r>
        <w:rPr>
          <w:b/>
          <w:bCs/>
          <w:color w:themeColor="dark1" w:val="000000"/>
          <w:sz w:val="26"/>
          <w:szCs w:val="26"/>
        </w:rPr>
        <w:t>El National Informatics Centre abre sus puertas al arte internacional</w:t>
      </w:r>
    </w:p>
    <w:p>
      <w:pPr>
        <w:pStyle w:val="Normal"/>
        <w:spacing w:before="0" w:after="200"/>
        <w:jc w:val="both"/>
        <w:rPr>
          <w:color w:themeColor="dark1" w:val="000000"/>
        </w:rPr>
      </w:pPr>
      <w:r>
        <w:rPr>
          <w:color w:themeColor="dark1" w:val="000000"/>
          <w:sz w:val="22"/>
          <w:szCs w:val="22"/>
        </w:rPr>
        <w:t xml:space="preserve">La muestra ha sido posible gracias a la colaboración del </w:t>
      </w:r>
      <w:r>
        <w:rPr>
          <w:b/>
          <w:bCs/>
          <w:color w:themeColor="dark1" w:val="000000"/>
          <w:sz w:val="22"/>
          <w:szCs w:val="22"/>
        </w:rPr>
        <w:t>National Informatics Centre (NIC) de Silvassa</w:t>
      </w:r>
      <w:r>
        <w:rPr>
          <w:color w:themeColor="dark1" w:val="000000"/>
          <w:sz w:val="22"/>
          <w:szCs w:val="22"/>
        </w:rPr>
        <w:t>, centro gubernamental de innovación tecnológica que ha acogido en sus espacios la exposición. El NIC, referente en el desarrollo de infraestructuras digitales y en la impulsión de proyectos de innovación al servicio de la administración y la ciudadanía, da con esta iniciativa un paso más allá de su labor habitual, abriéndose por primera vez a la exhibición de arte internacional dentro de sus instalaciones.</w:t>
      </w:r>
    </w:p>
    <w:p>
      <w:pPr>
        <w:pStyle w:val="Normal"/>
        <w:spacing w:before="0" w:after="200"/>
        <w:jc w:val="both"/>
        <w:rPr>
          <w:color w:themeColor="dark1" w:val="000000"/>
        </w:rPr>
      </w:pPr>
      <w:r>
        <w:rPr>
          <w:color w:themeColor="dark1" w:val="000000"/>
          <w:sz w:val="22"/>
          <w:szCs w:val="22"/>
        </w:rPr>
        <w:t xml:space="preserve">Para el NIC de Silvassa, acoger “Transformed Bonds for the DANA Clay” supone también una oportunidad de </w:t>
      </w:r>
      <w:r>
        <w:rPr>
          <w:b/>
          <w:bCs/>
          <w:color w:themeColor="dark1" w:val="000000"/>
          <w:sz w:val="22"/>
          <w:szCs w:val="22"/>
        </w:rPr>
        <w:t>pedagogía en sostenibilidad</w:t>
      </w:r>
      <w:r>
        <w:rPr>
          <w:color w:themeColor="dark1" w:val="000000"/>
          <w:sz w:val="22"/>
          <w:szCs w:val="22"/>
        </w:rPr>
        <w:t xml:space="preserve"> dirigida a sus propios trabajadores: a través del diálogo entre ciencia, tecnología y creación artística que propone Bio-Re-St-Art, el centro busca sensibilizar a su plantilla sobre la urgencia climática y sobre el papel que la innovación y la investigación pueden jugar en la construcción de modelos más sostenibles, tendiendo así un puente entre la administración pública, la ciencia y la cultura.</w:t>
      </w:r>
    </w:p>
    <w:p>
      <w:pPr>
        <w:pStyle w:val="Normal"/>
        <w:spacing w:before="300" w:after="150"/>
        <w:rPr>
          <w:color w:themeColor="dark1" w:val="000000"/>
        </w:rPr>
      </w:pPr>
      <w:r>
        <w:rPr>
          <w:b/>
          <w:bCs/>
          <w:color w:themeColor="dark1" w:val="000000"/>
          <w:sz w:val="26"/>
          <w:szCs w:val="26"/>
        </w:rPr>
        <w:t>Información práctica</w:t>
      </w:r>
    </w:p>
    <w:p>
      <w:pPr>
        <w:pStyle w:val="Normal"/>
        <w:spacing w:before="0" w:after="200"/>
        <w:jc w:val="both"/>
        <w:rPr>
          <w:color w:themeColor="dark1" w:val="000000"/>
        </w:rPr>
      </w:pPr>
      <w:r>
        <w:rPr>
          <w:b/>
          <w:bCs/>
          <w:color w:themeColor="dark1" w:val="000000"/>
          <w:sz w:val="22"/>
          <w:szCs w:val="22"/>
        </w:rPr>
        <w:t xml:space="preserve">Lugar: </w:t>
      </w:r>
      <w:r>
        <w:rPr>
          <w:color w:themeColor="dark1" w:val="000000"/>
          <w:sz w:val="22"/>
          <w:szCs w:val="22"/>
        </w:rPr>
        <w:t>Treat Resort Silvassa, Survey No. 374, Sayali Road, Umarkui Silvassa, Dadra and Nagar Haveli and Daman and Diu, Pin Code 396230, India.</w:t>
      </w:r>
    </w:p>
    <w:p>
      <w:pPr>
        <w:pStyle w:val="Normal"/>
        <w:spacing w:before="0" w:after="200"/>
        <w:jc w:val="both"/>
        <w:rPr>
          <w:color w:themeColor="dark1" w:val="000000"/>
        </w:rPr>
      </w:pPr>
      <w:r>
        <w:rPr>
          <w:b/>
          <w:bCs/>
          <w:color w:themeColor="dark1" w:val="000000"/>
          <w:sz w:val="22"/>
          <w:szCs w:val="22"/>
        </w:rPr>
        <w:t xml:space="preserve">Fechas: </w:t>
      </w:r>
      <w:r>
        <w:rPr>
          <w:color w:themeColor="dark1" w:val="000000"/>
          <w:sz w:val="22"/>
          <w:szCs w:val="22"/>
        </w:rPr>
        <w:t xml:space="preserve">del 24 de agosto al </w:t>
      </w:r>
      <w:r>
        <w:rPr>
          <w:color w:themeColor="dark1" w:val="000000"/>
          <w:sz w:val="22"/>
          <w:szCs w:val="22"/>
        </w:rPr>
        <w:t>2</w:t>
      </w:r>
      <w:r>
        <w:rPr>
          <w:color w:themeColor="dark1" w:val="000000"/>
          <w:sz w:val="22"/>
          <w:szCs w:val="22"/>
        </w:rPr>
        <w:t>0 de septiembre de 2026.</w:t>
      </w:r>
    </w:p>
    <w:p>
      <w:pPr>
        <w:pStyle w:val="Normal"/>
        <w:spacing w:before="0" w:after="200"/>
        <w:jc w:val="both"/>
        <w:rPr>
          <w:color w:themeColor="dark1" w:val="000000"/>
        </w:rPr>
      </w:pPr>
      <w:r>
        <w:rPr>
          <w:b/>
          <w:bCs/>
          <w:color w:themeColor="dark1" w:val="000000"/>
          <w:sz w:val="22"/>
          <w:szCs w:val="22"/>
        </w:rPr>
        <w:t xml:space="preserve">Inauguración: </w:t>
      </w:r>
      <w:r>
        <w:rPr>
          <w:color w:themeColor="dark1" w:val="000000"/>
          <w:sz w:val="22"/>
          <w:szCs w:val="22"/>
        </w:rPr>
        <w:t>24 de agosto, 13:30 h.</w:t>
      </w:r>
    </w:p>
    <w:p>
      <w:pPr>
        <w:pStyle w:val="Normal"/>
        <w:spacing w:before="0" w:after="200"/>
        <w:jc w:val="both"/>
        <w:rPr>
          <w:color w:themeColor="dark1" w:val="000000"/>
        </w:rPr>
      </w:pPr>
      <w:r>
        <w:rPr>
          <w:b/>
          <w:bCs/>
          <w:color w:themeColor="dark1" w:val="000000"/>
          <w:sz w:val="22"/>
          <w:szCs w:val="22"/>
        </w:rPr>
        <w:t xml:space="preserve">Horario: </w:t>
      </w:r>
      <w:r>
        <w:rPr>
          <w:color w:themeColor="dark1" w:val="000000"/>
          <w:sz w:val="22"/>
          <w:szCs w:val="22"/>
        </w:rPr>
        <w:t>de lunes a viernes, de 11:00 a 13:00 h y de 16:00 a 19:00 h; sábados, domingos y festivos, de 11:00 a 13:00 h y de 16:30 a 18:30 h.</w:t>
      </w:r>
    </w:p>
    <w:p>
      <w:pPr>
        <w:pStyle w:val="Normal"/>
        <w:spacing w:before="300" w:after="150"/>
        <w:rPr>
          <w:color w:themeColor="dark1" w:val="000000"/>
        </w:rPr>
      </w:pPr>
      <w:r>
        <w:rPr>
          <w:b/>
          <w:bCs/>
          <w:color w:themeColor="dark1" w:val="000000"/>
          <w:sz w:val="26"/>
          <w:szCs w:val="26"/>
        </w:rPr>
        <w:t>Artistas participantes</w:t>
      </w:r>
    </w:p>
    <w:p>
      <w:pPr>
        <w:pStyle w:val="Normal"/>
        <w:spacing w:before="0" w:after="200"/>
        <w:jc w:val="both"/>
        <w:rPr>
          <w:color w:themeColor="dark1" w:val="000000"/>
        </w:rPr>
      </w:pPr>
      <w:r>
        <w:rPr>
          <w:color w:themeColor="dark1" w:val="000000"/>
          <w:sz w:val="22"/>
          <w:szCs w:val="22"/>
        </w:rPr>
        <w:t xml:space="preserve">Rossi Aguilar, Tania Ansio, Rafel Arnal, Nuria Beneyto, Joan Bernat Pineda, Alberto Biesok, Gracia Bondía, Elif Caliskan, Javier Calvo, Tham Casany, Lucía Cervantes, Teresa Cháfer, Jonay Cogollos, Helga Correa, Inma Cortés, Palito Dominguín, Victoria Esgueva, Emilio Espí, Chele Esteve, María José Esteve, Eva Fernández Palop, Susana García Rams, Octavio Irving, Hernández, Bárbara Leszczynska, Anzhela Malyshava, Vicent Marco, Elena Martí, María Victoria Martin, Diego Martínez, Manuel Martínez, Torán, Janice Martins Apple, Salvador Mascarell, Carles Méndez, Horte Mínguez, Ciria Moro, Ángela Muñoz, Adolf Murillo, Tetiana Müsevitoglu, Natividad Navalón, Abaroa, Luis Furió, Jesús Poveda, Elena Prado, Mari Carmen Puchol, Felicia Puerta, Víctor Pulido, Carmen Razo, Cova Ríos, Sergio Rodríguez, Arístides Rosell, Paula Santiago, Duygu Sezgin, Ana Tomás, Rubén Tortosa, Isabel Tristán, Elshan Vakhsouri, Vanesa Valero, Tetiana Vasylenko y Colectivo Emergente Calcográfico 25 </w:t>
      </w:r>
      <w:r>
        <w:rPr>
          <w:color w:themeColor="dark1" w:val="000000"/>
          <w:sz w:val="22"/>
          <w:szCs w:val="22"/>
        </w:rPr>
        <w:t>y 26</w:t>
      </w:r>
    </w:p>
    <w:p>
      <w:pPr>
        <w:pStyle w:val="Normal"/>
        <w:spacing w:before="300" w:after="150"/>
        <w:rPr>
          <w:color w:themeColor="dark1" w:val="000000"/>
        </w:rPr>
      </w:pPr>
      <w:r>
        <w:rPr>
          <w:b/>
          <w:bCs/>
          <w:color w:themeColor="dark1" w:val="000000"/>
          <w:sz w:val="26"/>
          <w:szCs w:val="26"/>
        </w:rPr>
        <w:t>Colaboradores</w:t>
      </w:r>
    </w:p>
    <w:p>
      <w:pPr>
        <w:pStyle w:val="Normal"/>
        <w:spacing w:before="0" w:after="200"/>
        <w:jc w:val="both"/>
        <w:rPr>
          <w:color w:themeColor="dark1" w:val="000000"/>
        </w:rPr>
      </w:pPr>
      <w:r>
        <w:rPr>
          <w:color w:themeColor="dark1" w:val="000000"/>
          <w:sz w:val="22"/>
          <w:szCs w:val="22"/>
        </w:rPr>
        <w:t>La muestra cuenta con la colaboración de la Universitat Politècnica de València, el Consejo Superior de Investigaciones Científicas (CSIC) a través del ICMM, la Cátedra Hinojosa UPV, DANAda – Glocal 2026 UPV, The Hut – Erasmus+ (The Human Tech Nexus), Tote</w:t>
      </w:r>
      <w:r>
        <w:rPr>
          <w:color w:themeColor="dark1" w:val="000000"/>
          <w:sz w:val="22"/>
          <w:szCs w:val="22"/>
        </w:rPr>
        <w:t>n</w:t>
      </w:r>
      <w:r>
        <w:rPr>
          <w:color w:themeColor="dark1" w:val="000000"/>
          <w:sz w:val="22"/>
          <w:szCs w:val="22"/>
        </w:rPr>
        <w:t>art y el National Informatics Centre (NIC) de Silvassa.</w:t>
      </w:r>
    </w:p>
    <w:p>
      <w:pPr>
        <w:pStyle w:val="Normal"/>
        <w:spacing w:before="0" w:after="200"/>
        <w:jc w:val="both"/>
        <w:rPr>
          <w:color w:themeColor="dark1" w:val="000000"/>
        </w:rPr>
      </w:pPr>
      <w:r>
        <w:rPr>
          <w:color w:themeColor="dark1" w:val="000000"/>
          <w:sz w:val="22"/>
          <w:szCs w:val="22"/>
        </w:rPr>
        <w:t xml:space="preserve">Investigación financiada por el Vicerrectorado de Investigación de la Universitat Politècnica de València, con el soporte de NextGenerationEU. PAID-06-23 BIO-RE-ST-ART.2024000003. </w:t>
      </w:r>
      <w:r>
        <w:rPr>
          <w:color w:themeColor="dark1" w:val="000000"/>
          <w:sz w:val="22"/>
          <w:szCs w:val="22"/>
        </w:rPr>
        <w:t>IP Ana Tomás</w:t>
      </w:r>
    </w:p>
    <w:p>
      <w:pPr>
        <w:pStyle w:val="Normal"/>
        <w:spacing w:before="0" w:after="200"/>
        <w:jc w:val="both"/>
        <w:rPr>
          <w:color w:themeColor="dark1" w:val="000000"/>
        </w:rPr>
      </w:pPr>
      <w:r>
        <w:rPr>
          <w:color w:themeColor="dark1" w:val="000000"/>
          <w:sz w:val="22"/>
          <w:szCs w:val="22"/>
        </w:rPr>
        <w:t xml:space="preserve">Programa ACIF/008/2021 GVA de la Generalitat Valenciana. Conselleria D'innovació, Universitats, Ciència i Societat Digital. Direcció General de Ciència i Investigació y Fondo Social Europeo. </w:t>
      </w:r>
      <w:r>
        <w:rPr>
          <w:color w:themeColor="dark1" w:val="000000"/>
          <w:sz w:val="22"/>
          <w:szCs w:val="22"/>
        </w:rPr>
        <w:t>IP</w:t>
      </w:r>
      <w:r>
        <w:rPr>
          <w:color w:themeColor="dark1" w:val="000000"/>
          <w:sz w:val="22"/>
          <w:szCs w:val="22"/>
        </w:rPr>
        <w:t xml:space="preserve"> Rossi Aguilar</w:t>
      </w:r>
    </w:p>
    <w:p>
      <w:pPr>
        <w:pStyle w:val="Normal"/>
        <w:spacing w:before="0" w:after="200"/>
        <w:jc w:val="both"/>
        <w:rPr>
          <w:color w:themeColor="dark1" w:val="000000"/>
        </w:rPr>
      </w:pPr>
      <w:r>
        <w:rPr>
          <w:color w:themeColor="dark1" w:val="000000"/>
          <w:sz w:val="22"/>
          <w:szCs w:val="22"/>
        </w:rPr>
        <w:t>The Hut ha recibido financiación del programa Horizon Europe de la Unión Europea (número de subvención 1010173957). DANAda, Glocal 202</w:t>
      </w:r>
      <w:r>
        <w:rPr>
          <w:color w:themeColor="dark1" w:val="000000"/>
          <w:sz w:val="22"/>
          <w:szCs w:val="22"/>
        </w:rPr>
        <w:t>5-2</w:t>
      </w:r>
      <w:r>
        <w:rPr>
          <w:color w:themeColor="dark1" w:val="000000"/>
          <w:sz w:val="22"/>
          <w:szCs w:val="22"/>
        </w:rPr>
        <w:t>6, UPV, coordinado por Chele Esteve.</w:t>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212"/>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s-ES" w:eastAsia="es-ES_tradn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Times New Roman" w:hAnsi="Times New Roman" w:eastAsia="Times New Roman" w:cs="Times New Roman"/>
      <w:color w:val="auto"/>
      <w:kern w:val="0"/>
      <w:sz w:val="20"/>
      <w:szCs w:val="20"/>
      <w:lang w:val="es-ES" w:eastAsia="es-ES_tradnl" w:bidi="ar-SA"/>
    </w:rPr>
  </w:style>
  <w:style w:type="paragraph" w:styleId="Heading1">
    <w:name w:val="heading 1"/>
    <w:uiPriority w:val="9"/>
    <w:qFormat/>
    <w:pPr>
      <w:widowControl/>
      <w:bidi w:val="0"/>
      <w:spacing w:before="0" w:after="0"/>
      <w:jc w:val="start"/>
      <w:outlineLvl w:val="0"/>
    </w:pPr>
    <w:rPr>
      <w:rFonts w:ascii="Times New Roman" w:hAnsi="Times New Roman" w:eastAsia="Times New Roman" w:cs="Times New Roman"/>
      <w:color w:val="2E74B5"/>
      <w:kern w:val="0"/>
      <w:sz w:val="32"/>
      <w:szCs w:val="32"/>
      <w:lang w:val="es-ES" w:eastAsia="es-ES_tradnl" w:bidi="ar-SA"/>
    </w:rPr>
  </w:style>
  <w:style w:type="paragraph" w:styleId="Heading2">
    <w:name w:val="heading 2"/>
    <w:uiPriority w:val="9"/>
    <w:semiHidden/>
    <w:unhideWhenUsed/>
    <w:qFormat/>
    <w:pPr>
      <w:widowControl/>
      <w:bidi w:val="0"/>
      <w:spacing w:before="0" w:after="0"/>
      <w:jc w:val="start"/>
      <w:outlineLvl w:val="1"/>
    </w:pPr>
    <w:rPr>
      <w:rFonts w:ascii="Times New Roman" w:hAnsi="Times New Roman" w:eastAsia="Times New Roman" w:cs="Times New Roman"/>
      <w:color w:val="2E74B5"/>
      <w:kern w:val="0"/>
      <w:sz w:val="26"/>
      <w:szCs w:val="26"/>
      <w:lang w:val="es-ES" w:eastAsia="es-ES_tradnl" w:bidi="ar-SA"/>
    </w:rPr>
  </w:style>
  <w:style w:type="paragraph" w:styleId="Heading3">
    <w:name w:val="heading 3"/>
    <w:uiPriority w:val="9"/>
    <w:semiHidden/>
    <w:unhideWhenUsed/>
    <w:qFormat/>
    <w:pPr>
      <w:widowControl/>
      <w:bidi w:val="0"/>
      <w:spacing w:before="0" w:after="0"/>
      <w:jc w:val="start"/>
      <w:outlineLvl w:val="2"/>
    </w:pPr>
    <w:rPr>
      <w:rFonts w:ascii="Times New Roman" w:hAnsi="Times New Roman" w:eastAsia="Times New Roman" w:cs="Times New Roman"/>
      <w:color w:val="1F4D78"/>
      <w:kern w:val="0"/>
      <w:sz w:val="24"/>
      <w:szCs w:val="24"/>
      <w:lang w:val="es-ES" w:eastAsia="es-ES_tradnl" w:bidi="ar-SA"/>
    </w:rPr>
  </w:style>
  <w:style w:type="paragraph" w:styleId="Heading4">
    <w:name w:val="heading 4"/>
    <w:uiPriority w:val="9"/>
    <w:semiHidden/>
    <w:unhideWhenUsed/>
    <w:qFormat/>
    <w:pPr>
      <w:widowControl/>
      <w:bidi w:val="0"/>
      <w:spacing w:before="0" w:after="0"/>
      <w:jc w:val="start"/>
      <w:outlineLvl w:val="3"/>
    </w:pPr>
    <w:rPr>
      <w:rFonts w:ascii="Times New Roman" w:hAnsi="Times New Roman" w:eastAsia="Times New Roman" w:cs="Times New Roman"/>
      <w:i/>
      <w:iCs/>
      <w:color w:val="2E74B5"/>
      <w:kern w:val="0"/>
      <w:sz w:val="20"/>
      <w:szCs w:val="20"/>
      <w:lang w:val="es-ES" w:eastAsia="es-ES_tradnl" w:bidi="ar-SA"/>
    </w:rPr>
  </w:style>
  <w:style w:type="paragraph" w:styleId="Heading5">
    <w:name w:val="heading 5"/>
    <w:uiPriority w:val="9"/>
    <w:semiHidden/>
    <w:unhideWhenUsed/>
    <w:qFormat/>
    <w:pPr>
      <w:widowControl/>
      <w:bidi w:val="0"/>
      <w:spacing w:before="0" w:after="0"/>
      <w:jc w:val="start"/>
      <w:outlineLvl w:val="4"/>
    </w:pPr>
    <w:rPr>
      <w:rFonts w:ascii="Times New Roman" w:hAnsi="Times New Roman" w:eastAsia="Times New Roman" w:cs="Times New Roman"/>
      <w:color w:val="2E74B5"/>
      <w:kern w:val="0"/>
      <w:sz w:val="20"/>
      <w:szCs w:val="20"/>
      <w:lang w:val="es-ES" w:eastAsia="es-ES_tradnl" w:bidi="ar-SA"/>
    </w:rPr>
  </w:style>
  <w:style w:type="paragraph" w:styleId="Heading6">
    <w:name w:val="heading 6"/>
    <w:uiPriority w:val="9"/>
    <w:semiHidden/>
    <w:unhideWhenUsed/>
    <w:qFormat/>
    <w:pPr>
      <w:widowControl/>
      <w:bidi w:val="0"/>
      <w:spacing w:before="0" w:after="0"/>
      <w:jc w:val="start"/>
      <w:outlineLvl w:val="5"/>
    </w:pPr>
    <w:rPr>
      <w:rFonts w:ascii="Times New Roman" w:hAnsi="Times New Roman" w:eastAsia="Times New Roman" w:cs="Times New Roman"/>
      <w:color w:val="1F4D78"/>
      <w:kern w:val="0"/>
      <w:sz w:val="20"/>
      <w:szCs w:val="20"/>
      <w:lang w:val="es-ES" w:eastAsia="es-ES_tradnl"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Caracteresdenotaalpie">
    <w:name w:val="Caracteres de nota al pie"/>
    <w:uiPriority w:val="99"/>
    <w:semiHidden/>
    <w:unhideWhenUsed/>
    <w:qFormat/>
    <w:rPr>
      <w:vertAlign w:val="superscript"/>
    </w:rPr>
  </w:style>
  <w:style w:type="character" w:styleId="FootnoteReference">
    <w:name w:val="footnote reference"/>
    <w:rPr>
      <w:vertAlign w:val="superscript"/>
    </w:rPr>
  </w:style>
  <w:style w:type="character" w:styleId="TextonotapieCar" w:customStyle="1">
    <w:name w:val="Texto nota pie Car"/>
    <w:uiPriority w:val="99"/>
    <w:semiHidden/>
    <w:unhideWhenUsed/>
    <w:qFormat/>
    <w:rPr>
      <w:sz w:val="20"/>
      <w:szCs w:val="20"/>
    </w:rPr>
  </w:style>
  <w:style w:type="character" w:styleId="Caracteresdenotafinal">
    <w:name w:val="Caracteres de nota final"/>
    <w:uiPriority w:val="99"/>
    <w:semiHidden/>
    <w:unhideWhenUsed/>
    <w:qFormat/>
    <w:rPr>
      <w:vertAlign w:val="superscript"/>
    </w:rPr>
  </w:style>
  <w:style w:type="character" w:styleId="EndnoteReference">
    <w:name w:val="endnote reference"/>
    <w:rPr>
      <w:vertAlign w:val="superscript"/>
    </w:rPr>
  </w:style>
  <w:style w:type="character" w:styleId="TextonotaalfinalCar" w:customStyle="1">
    <w:name w:val="Texto nota al final Car"/>
    <w:uiPriority w:val="99"/>
    <w:semiHidden/>
    <w:unhideWhenUsed/>
    <w:qFormat/>
    <w:rPr>
      <w:sz w:val="20"/>
      <w:szCs w:val="20"/>
    </w:rPr>
  </w:style>
  <w:style w:type="paragraph" w:styleId="Ttulo">
    <w:name w:val="Título"/>
    <w:basedOn w:val="Normal"/>
    <w:next w:val="BodyText"/>
    <w:qFormat/>
    <w:pPr>
      <w:keepNext w:val="true"/>
      <w:spacing w:before="240" w:after="120"/>
    </w:pPr>
    <w:rPr>
      <w:rFonts w:ascii="Liberation Sans" w:hAnsi="Liberation Sans" w:eastAsia="Roboto" w:cs="Droid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ndice">
    <w:name w:val="Índice"/>
    <w:basedOn w:val="Normal"/>
    <w:qFormat/>
    <w:pPr>
      <w:suppressLineNumbers/>
    </w:pPr>
    <w:rPr>
      <w:rFonts w:cs="Droid Sans Devanagari"/>
    </w:rPr>
  </w:style>
  <w:style w:type="paragraph" w:styleId="Title">
    <w:name w:val="Title"/>
    <w:uiPriority w:val="10"/>
    <w:qFormat/>
    <w:pPr>
      <w:widowControl/>
      <w:bidi w:val="0"/>
      <w:spacing w:before="0" w:after="0"/>
      <w:jc w:val="start"/>
    </w:pPr>
    <w:rPr>
      <w:rFonts w:ascii="Times New Roman" w:hAnsi="Times New Roman" w:eastAsia="Times New Roman" w:cs="Times New Roman"/>
      <w:color w:val="auto"/>
      <w:kern w:val="0"/>
      <w:sz w:val="56"/>
      <w:szCs w:val="56"/>
      <w:lang w:val="es-ES" w:eastAsia="es-ES_tradnl" w:bidi="ar-SA"/>
    </w:rPr>
  </w:style>
  <w:style w:type="paragraph" w:styleId="Fuerte1" w:customStyle="1">
    <w:name w:val="Fuerte1"/>
    <w:qFormat/>
    <w:pPr>
      <w:widowControl/>
      <w:bidi w:val="0"/>
      <w:spacing w:before="0" w:after="0"/>
      <w:jc w:val="start"/>
    </w:pPr>
    <w:rPr>
      <w:rFonts w:ascii="Times New Roman" w:hAnsi="Times New Roman" w:eastAsia="Times New Roman" w:cs="Times New Roman"/>
      <w:b/>
      <w:bCs/>
      <w:color w:val="auto"/>
      <w:kern w:val="0"/>
      <w:sz w:val="20"/>
      <w:szCs w:val="20"/>
      <w:lang w:val="es-ES" w:eastAsia="es-ES_tradnl" w:bidi="ar-SA"/>
    </w:rPr>
  </w:style>
  <w:style w:type="paragraph" w:styleId="ListParagraph">
    <w:name w:val="List Paragraph"/>
    <w:qFormat/>
    <w:pPr>
      <w:widowControl/>
      <w:bidi w:val="0"/>
      <w:spacing w:before="0" w:after="0"/>
      <w:jc w:val="start"/>
    </w:pPr>
    <w:rPr>
      <w:rFonts w:ascii="Times New Roman" w:hAnsi="Times New Roman" w:eastAsia="Times New Roman" w:cs="Times New Roman"/>
      <w:color w:val="auto"/>
      <w:kern w:val="0"/>
      <w:sz w:val="20"/>
      <w:szCs w:val="20"/>
      <w:lang w:val="es-ES" w:eastAsia="es-ES_tradnl" w:bidi="ar-SA"/>
    </w:rPr>
  </w:style>
  <w:style w:type="paragraph" w:styleId="FootnoteText">
    <w:name w:val="footnote text"/>
    <w:link w:val="TextonotapieCar"/>
    <w:uiPriority w:val="99"/>
    <w:semiHidden/>
    <w:unhideWhenUsed/>
    <w:pPr>
      <w:widowControl/>
      <w:bidi w:val="0"/>
      <w:spacing w:before="0" w:after="0"/>
      <w:jc w:val="start"/>
    </w:pPr>
    <w:rPr>
      <w:rFonts w:ascii="Times New Roman" w:hAnsi="Times New Roman" w:eastAsia="Times New Roman" w:cs="Times New Roman"/>
      <w:color w:val="auto"/>
      <w:kern w:val="0"/>
      <w:sz w:val="20"/>
      <w:szCs w:val="20"/>
      <w:lang w:val="es-ES" w:eastAsia="es-ES_tradnl" w:bidi="ar-SA"/>
    </w:rPr>
  </w:style>
  <w:style w:type="paragraph" w:styleId="EndnoteText">
    <w:name w:val="endnote text"/>
    <w:link w:val="TextonotaalfinalCar"/>
    <w:uiPriority w:val="99"/>
    <w:semiHidden/>
    <w:unhideWhenUsed/>
    <w:pPr>
      <w:widowControl/>
      <w:bidi w:val="0"/>
      <w:spacing w:before="0" w:after="0"/>
      <w:jc w:val="start"/>
    </w:pPr>
    <w:rPr>
      <w:rFonts w:ascii="Times New Roman" w:hAnsi="Times New Roman" w:eastAsia="Times New Roman" w:cs="Times New Roman"/>
      <w:color w:val="auto"/>
      <w:kern w:val="0"/>
      <w:sz w:val="20"/>
      <w:szCs w:val="20"/>
      <w:lang w:val="es-ES" w:eastAsia="es-ES_tradnl" w:bidi="ar-SA"/>
    </w:rPr>
  </w:style>
  <w:style w:type="numbering" w:styleId="Ningunalista" w:default="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TotalTime>
  <Application>LibreOffice/25.8.5.1$Linux_X86_64 LibreOffice_project/580$Build-1</Application>
  <AppVersion>15.0000</AppVersion>
  <Pages>3</Pages>
  <Words>1078</Words>
  <Characters>6296</Characters>
  <CharactersWithSpaces>7345</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2026-08-24T14:49:00Z</dcterms:created>
  <dc:creator>Un-named</dc:creator>
  <dc:description/>
  <dc:language>es-ES</dc:language>
  <cp:lastModifiedBy/>
  <dcterms:modified xsi:type="dcterms:W3CDTF">2026-09-17T19:21:05Z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